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วิสัยทัศน์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 xml:space="preserve">ศูนย์กลางการแพทย์และสาธารณสุขที่เป็นเลิศระดับนานาชาติ </w:t>
      </w:r>
    </w:p>
    <w:p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พันธกิจที่ </w:t>
      </w:r>
      <w:r>
        <w:rPr>
          <w:rFonts w:ascii="TH SarabunPSK" w:hAnsi="TH SarabunPSK" w:cs="TH SarabunPSK"/>
          <w:b/>
          <w:bCs/>
          <w:sz w:val="32"/>
          <w:szCs w:val="32"/>
        </w:rPr>
        <w:t>M2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: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  <w:lang w:val="th-TH" w:bidi="th-TH"/>
        </w:rPr>
        <w:t xml:space="preserve">ให้บริการทางการแพทย์ตั้งแต่ระดับปฐมภูมิถึงระดับตติยภูมิขั้นสูงที่มีคุณภาพสูง </w:t>
      </w:r>
    </w:p>
    <w:p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1506220</wp:posOffset>
                </wp:positionH>
                <wp:positionV relativeFrom="paragraph">
                  <wp:posOffset>13335</wp:posOffset>
                </wp:positionV>
                <wp:extent cx="135255" cy="1587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3525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cs="Angsana New"/>
                                <w:szCs w:val="22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18.6pt;margin-top:1.05pt;height:12.5pt;width:10.65pt;z-index:251659264;mso-width-relative:page;mso-height-relative:page;" fillcolor="#FFFFFF" filled="t" stroked="t" coordsize="21600,21600" o:gfxdata="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Yiii/YAAAACAEAAA8A&#10;AAAAAAAAAQAgAAAAIgAAAGRycy9kb3ducmV2LnhtbFBLAQIUABQAAAAIAIdO4kA7sdxrFwIAAFUE&#10;AAAOAAAAAAAAAAEAIAAAACcBAABkcnMvZTJvRG9jLnhtbFBLBQYAAAAABgAGAFkBAACw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cs="Angsana New"/>
                          <w:szCs w:val="22"/>
                          <w:cs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1506220</wp:posOffset>
                </wp:positionH>
                <wp:positionV relativeFrom="paragraph">
                  <wp:posOffset>13335</wp:posOffset>
                </wp:positionV>
                <wp:extent cx="135255" cy="158750"/>
                <wp:effectExtent l="0" t="0" r="17145" b="12700"/>
                <wp:wrapNone/>
                <wp:docPr id="2" name="ลูกศรเชื่อมต่อแบบ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135255" cy="158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" o:spid="_x0000_s1026" o:spt="32" type="#_x0000_t32" style="position:absolute;left:0pt;flip:y;margin-left:118.6pt;margin-top:1.05pt;height:12.5pt;width:10.65pt;z-index:251660288;mso-width-relative:page;mso-height-relative:page;" filled="f" stroked="t" coordsize="21600,21600" o:gfxdata="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5SaqtYAAAAIAQAADwAAAAAAAAABACAAAAAiAAAAZHJzL2Rvd25y&#10;ZXYueG1sUEsBAhQAFAAAAAgAh07iQGkeD90AAgAAwQMAAA4AAAAAAAAAAQAgAAAAJQ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ยุทธศาสตร์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      </w:t>
      </w:r>
      <w:r>
        <w:rPr>
          <w:rFonts w:ascii="TH SarabunPSK" w:hAnsi="TH SarabunPSK" w:cs="TH SarabunPSK"/>
          <w:b/>
          <w:bCs/>
          <w:sz w:val="32"/>
          <w:szCs w:val="32"/>
        </w:rPr>
        <w:t>SO1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SO2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ST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WO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>WT</w:t>
      </w:r>
    </w:p>
    <w:p>
      <w:pPr>
        <w:spacing w:after="0" w:line="240" w:lineRule="auto"/>
        <w:rPr>
          <w:rFonts w:ascii="TH SarabunPSK" w:hAnsi="TH SarabunPSK" w:cs="TH SarabunPSK"/>
          <w:b/>
          <w:bCs/>
          <w:color w:val="1F497D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</w:rPr>
        <w:t>Roadmap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: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highlight w:val="yellow"/>
        </w:rPr>
        <w:t>R</w:t>
      </w:r>
      <w:r>
        <w:rPr>
          <w:rFonts w:hint="cs" w:ascii="TH SarabunPSK" w:hAnsi="TH SarabunPSK" w:cs="TH SarabunPSK"/>
          <w:b/>
          <w:bCs/>
          <w:color w:val="000000"/>
          <w:sz w:val="32"/>
          <w:szCs w:val="32"/>
          <w:highlight w:val="yellow"/>
          <w:cs/>
        </w:rPr>
        <w:t>1.6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highlight w:val="yellow"/>
        </w:rPr>
        <w:t>_PCT</w:t>
      </w:r>
      <w:r>
        <w:rPr>
          <w:rFonts w:hint="cs" w:ascii="TH SarabunPSK" w:hAnsi="TH SarabunPSK" w:cs="TH SarabunPSK"/>
          <w:b/>
          <w:bCs/>
          <w:color w:val="000000"/>
          <w:sz w:val="32"/>
          <w:szCs w:val="32"/>
          <w:highlight w:val="yellow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highlight w:val="yellow"/>
          <w:cs/>
          <w:lang w:val="th-TH" w:bidi="th-TH"/>
        </w:rPr>
        <w:t>จักษุ</w:t>
      </w:r>
    </w:p>
    <w:tbl>
      <w:tblPr>
        <w:tblStyle w:val="3"/>
        <w:tblW w:w="13466" w:type="dxa"/>
        <w:tblInd w:w="9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992"/>
        <w:gridCol w:w="851"/>
        <w:gridCol w:w="992"/>
        <w:gridCol w:w="851"/>
        <w:gridCol w:w="1842"/>
        <w:gridCol w:w="1134"/>
        <w:gridCol w:w="993"/>
        <w:gridCol w:w="992"/>
        <w:gridCol w:w="1134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56082901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วัตถุประสงค์</w:t>
            </w:r>
          </w:p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เชิงยุทธศาสตร์</w:t>
            </w:r>
          </w:p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Objectives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0" w:type="dxa"/>
            <w:gridSpan w:val="10"/>
            <w:shd w:val="clear" w:color="auto" w:fill="auto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เป้าประสงค์เชิงยุทธศาสตร์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Purposes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: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ลดอัตราการเจ็บป่วย ลดอัตราการพิการ และเพิ่มคุณภาพชีวิตในโรคยุทธศาสตร์ที่สำคัญ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0" w:type="dxa"/>
            <w:gridSpan w:val="10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>
              <w:rPr>
                <w:rStyle w:val="4"/>
                <w:rFonts w:ascii="TH SarabunPSK" w:hAnsi="TH SarabunPSK" w:cs="TH SarabunPSK"/>
                <w:b/>
                <w:bCs/>
                <w:i w:val="0"/>
                <w:iCs w:val="0"/>
                <w:color w:val="000000"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Merge w:val="continue"/>
            <w:shd w:val="clear" w:color="auto" w:fill="auto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1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1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559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2575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เพิ่มการเข้าถึง ลดระยะ เวลารอคอย ลดความพิการทางตา และเพิ่มคุณภาพชีวิตโรคทางยุทธศาสตร์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โรคต้อกระจก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เบาหวานขึ้นจอตา</w:t>
            </w:r>
          </w:p>
        </w:tc>
        <w:tc>
          <w:tcPr>
            <w:tcW w:w="184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Excellent  ODS</w:t>
            </w:r>
          </w:p>
        </w:tc>
        <w:tc>
          <w:tcPr>
            <w:tcW w:w="184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Excellent  ODS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ระดับเขต</w:t>
            </w: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Excellent  cataract center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ระดับประเทศ</w:t>
            </w:r>
          </w:p>
        </w:tc>
        <w:tc>
          <w:tcPr>
            <w:tcW w:w="4253" w:type="dxa"/>
            <w:gridSpan w:val="4"/>
            <w:shd w:val="clear" w:color="auto" w:fill="auto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International cataract center</w:t>
            </w:r>
          </w:p>
        </w:tc>
        <w:tc>
          <w:tcPr>
            <w:tcW w:w="1559" w:type="dxa"/>
            <w:shd w:val="clear" w:color="auto" w:fill="auto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Excellent cataract center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ระดับนานาชาติ</w:t>
            </w:r>
          </w:p>
        </w:tc>
      </w:tr>
    </w:tbl>
    <w:p/>
    <w:p>
      <w:pPr>
        <w:spacing w:after="0" w:line="240" w:lineRule="auto"/>
        <w:rPr>
          <w:rFonts w:ascii="TH SarabunPSK" w:hAnsi="TH SarabunPSK" w:eastAsia="Sarabun" w:cs="TH SarabunPSK"/>
          <w:bCs/>
          <w:sz w:val="32"/>
          <w:szCs w:val="32"/>
          <w:highlight w:val="yellow"/>
          <w:cs/>
        </w:rPr>
      </w:pPr>
      <w:r>
        <w:rPr>
          <w:rFonts w:ascii="TH SarabunPSK" w:hAnsi="TH SarabunPSK" w:eastAsia="Sarabun" w:cs="TH SarabunPSK"/>
          <w:bCs/>
          <w:sz w:val="32"/>
          <w:szCs w:val="32"/>
          <w:highlight w:val="yellow"/>
          <w:cs/>
        </w:rPr>
        <w:br w:type="page"/>
      </w:r>
    </w:p>
    <w:p>
      <w:pPr>
        <w:spacing w:after="0"/>
        <w:jc w:val="both"/>
        <w:rPr>
          <w:rFonts w:ascii="TH SarabunPSK" w:hAnsi="TH SarabunPSK" w:eastAsia="Sarabun" w:cs="TH SarabunPSK"/>
          <w:bCs/>
          <w:sz w:val="32"/>
          <w:szCs w:val="32"/>
          <w:highlight w:val="yellow"/>
        </w:rPr>
      </w:pPr>
    </w:p>
    <w:p>
      <w:pPr>
        <w:spacing w:after="0"/>
        <w:jc w:val="center"/>
        <w:rPr>
          <w:rFonts w:ascii="TH SarabunPSK" w:hAnsi="TH SarabunPSK" w:eastAsia="Sarabun" w:cs="TH SarabunPSK"/>
          <w:b/>
          <w:sz w:val="32"/>
          <w:szCs w:val="32"/>
          <w:cs/>
        </w:rPr>
      </w:pPr>
      <w:r>
        <w:rPr>
          <w:rFonts w:hint="cs" w:ascii="TH SarabunPSK" w:hAnsi="TH SarabunPSK" w:eastAsia="Sarabun" w:cs="TH SarabunPSK"/>
          <w:bCs/>
          <w:sz w:val="32"/>
          <w:szCs w:val="32"/>
          <w:highlight w:val="yellow"/>
          <w:cs/>
          <w:lang w:val="th-TH" w:bidi="th-TH"/>
        </w:rPr>
        <w:t xml:space="preserve">การวิเคราะห์ตัวชี้วัด </w:t>
      </w:r>
      <w:r>
        <w:rPr>
          <w:rFonts w:ascii="TH SarabunPSK" w:hAnsi="TH SarabunPSK" w:eastAsia="Sarabun" w:cs="TH SarabunPSK"/>
          <w:b/>
          <w:sz w:val="32"/>
          <w:szCs w:val="32"/>
          <w:highlight w:val="yellow"/>
        </w:rPr>
        <w:t>R1</w:t>
      </w:r>
      <w:r>
        <w:rPr>
          <w:rFonts w:ascii="TH SarabunPSK" w:hAnsi="TH SarabunPSK" w:eastAsia="Sarabun" w:cs="TH SarabunPSK"/>
          <w:b/>
          <w:bCs/>
          <w:sz w:val="32"/>
          <w:szCs w:val="32"/>
          <w:highlight w:val="yellow"/>
          <w:cs/>
        </w:rPr>
        <w:t>.</w:t>
      </w:r>
      <w:r>
        <w:rPr>
          <w:rFonts w:ascii="TH SarabunPSK" w:hAnsi="TH SarabunPSK" w:eastAsia="Sarabun" w:cs="TH SarabunPSK"/>
          <w:b/>
          <w:sz w:val="32"/>
          <w:szCs w:val="32"/>
          <w:highlight w:val="yellow"/>
        </w:rPr>
        <w:t>10_</w:t>
      </w:r>
      <w:r>
        <w:rPr>
          <w:rFonts w:hint="cs" w:ascii="TH SarabunPSK" w:hAnsi="TH SarabunPSK" w:eastAsia="Sarabun" w:cs="TH SarabunPSK"/>
          <w:bCs/>
          <w:sz w:val="32"/>
          <w:szCs w:val="32"/>
          <w:highlight w:val="yellow"/>
          <w:cs/>
          <w:lang w:val="th-TH" w:bidi="th-TH"/>
        </w:rPr>
        <w:t>จักษุ</w:t>
      </w:r>
    </w:p>
    <w:tbl>
      <w:tblPr>
        <w:tblStyle w:val="5"/>
        <w:tblW w:w="14601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5954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tblHeader/>
        </w:trPr>
        <w:tc>
          <w:tcPr>
            <w:tcW w:w="396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M2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tblHeader/>
        </w:trPr>
        <w:tc>
          <w:tcPr>
            <w:tcW w:w="396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2" w:type="dxa"/>
            <w:gridSpan w:val="2"/>
          </w:tcPr>
          <w:p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เป้าประสงค์เชิงยุทธศาสตร์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969" w:type="dxa"/>
            <w:vMerge w:val="restart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เพิ่มการเข้าถึง ลดระยะ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เวลารอคอย ลดความพิการทางตา และเพิ่มคุณภาพชีวิตโรคทางยุทธศาสตร์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โรคต้อกระจก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4" w:type="dxa"/>
          </w:tcPr>
          <w:p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อัตราผู้ป่วยต้อกระจกเกิดความพิการทางสายตาหลังจาก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หลังผ่าตัดต้อกระจก 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40"/>
                <w:cs/>
              </w:rPr>
              <w:t xml:space="preserve"> </w:t>
            </w:r>
          </w:p>
        </w:tc>
        <w:tc>
          <w:tcPr>
            <w:tcW w:w="4678" w:type="dxa"/>
          </w:tcPr>
          <w:p>
            <w:pPr>
              <w:spacing w:after="0"/>
              <w:rPr>
                <w:rFonts w:hint="cs"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val="th-TH" w:bidi="th-TH"/>
              </w:rPr>
              <w:t xml:space="preserve">โครงการที่ 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:</w:t>
            </w:r>
            <w:r>
              <w:rPr>
                <w:rFonts w:hint="cs"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  <w:lang w:val="en-US" w:bidi="th-TH"/>
              </w:rPr>
              <w:t>พัฒนาระบบบริการจักษุ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969" w:type="dxa"/>
            <w:vMerge w:val="continue"/>
          </w:tcPr>
          <w:p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4" w:type="dxa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OKR1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ผู้สูงอายุ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ปีขึ้นไปได้รับการตรวจคัดกรองโรคต้อกระจก มากกว่าร้อยละ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OKR2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ผู้ป่วยโรคต้อกระจกชนิด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blinding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ได้รับการผ่าตัดภายใน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วัน มากกว่าร้อยละ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OKR3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ผู้ป่วยโรคต้อกระจกชนิด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low vision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ได้รับการผ่าตัดภายใน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วัน มากกว่าร้อยละ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OKR4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ผู้ป่วยหลังผ่าตัดต้อกระจก มีระดับการมองเห็นดีขึ้นมากกว่า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3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แถว มากกว่าร้อยละ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95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highlight w:val="yellow"/>
              </w:rPr>
              <w:t>OK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678" w:type="dxa"/>
          </w:tcPr>
          <w:p>
            <w:pPr>
              <w:numPr>
                <w:ilvl w:val="0"/>
                <w:numId w:val="1"/>
              </w:num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bidi="th-TH"/>
              </w:rPr>
              <w:t>งาน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: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ลดความพิการของผู้ป่วยต้อกระจก</w:t>
            </w:r>
          </w:p>
          <w:p>
            <w:pPr>
              <w:numPr>
                <w:numId w:val="0"/>
              </w:num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กิจกรรม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: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- คัดกรองเชิงรุก </w:t>
            </w:r>
          </w:p>
          <w:p>
            <w:pPr>
              <w:numPr>
                <w:numId w:val="0"/>
              </w:numPr>
              <w:spacing w:after="0"/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-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>Fast track</w:t>
            </w:r>
          </w:p>
          <w:p>
            <w:pPr>
              <w:numPr>
                <w:numId w:val="0"/>
              </w:numPr>
              <w:spacing w:after="0"/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</w:pP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           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-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>ODS</w:t>
            </w:r>
          </w:p>
          <w:p>
            <w:pPr>
              <w:numPr>
                <w:numId w:val="0"/>
              </w:num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           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-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Convenience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(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>SMC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)</w:t>
            </w:r>
          </w:p>
          <w:p>
            <w:pPr>
              <w:numPr>
                <w:numId w:val="0"/>
              </w:num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           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-  ผ่าตัดนอกเวลา</w:t>
            </w:r>
          </w:p>
          <w:p>
            <w:pPr>
              <w:numPr>
                <w:numId w:val="0"/>
              </w:numPr>
              <w:spacing w:after="0"/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- เพิ่มศักยภาพของ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>node</w:t>
            </w:r>
          </w:p>
          <w:p>
            <w:pPr>
              <w:numPr>
                <w:numId w:val="0"/>
              </w:numPr>
              <w:spacing w:after="0"/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</w:pP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           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- ขยาย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>node</w:t>
            </w:r>
          </w:p>
          <w:p>
            <w:pPr>
              <w:numPr>
                <w:numId w:val="0"/>
              </w:numPr>
              <w:spacing w:after="0"/>
              <w:rPr>
                <w:rFonts w:hint="default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           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-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One stop service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(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node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น้ำพอง)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969" w:type="dxa"/>
            <w:vMerge w:val="restart"/>
          </w:tcPr>
          <w:p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เบาหวานขึ้นจอตา</w:t>
            </w:r>
          </w:p>
        </w:tc>
        <w:tc>
          <w:tcPr>
            <w:tcW w:w="5954" w:type="dxa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VA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 w:bidi="th-TH"/>
              </w:rPr>
              <w:t xml:space="preserve">หลังการรักษาในผู้ป่วย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DME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 w:bidi="th-TH"/>
              </w:rPr>
              <w:t>เท่าเดิม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 w:bidi="th-TH"/>
              </w:rPr>
              <w:t xml:space="preserve">ดีขึ้นกว่าเดิม มากกว่าร้อยละ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70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678" w:type="dxa"/>
          </w:tcPr>
          <w:p>
            <w:p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2.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งาน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: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เพิ่มการมองเห็นเท่าเดิมหรือเพิ่มขึ้นของผู้ป่วยเบาหวานขึ้นจอตา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969" w:type="dxa"/>
            <w:vMerge w:val="continue"/>
          </w:tcPr>
          <w:p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4" w:type="dxa"/>
          </w:tcPr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OKR1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ผู้ป่วยโรคเบาหวานได้รับการตรวจจอตา มากกว่าร้อยละ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OKR2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ผู้ป่วย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PDR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ได้รับการรักษา ร้อยละ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  <w:p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678" w:type="dxa"/>
          </w:tcPr>
          <w:p>
            <w:p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กิจกรรม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: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- คัดกรองเบาหวานขึ้นจอตาในเขต อ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>.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เมือง</w:t>
            </w:r>
          </w:p>
          <w:p>
            <w:p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- เชื่อมโยงฐานข้อมูลผู้ป่วยเบาหวาน (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>ICT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)</w:t>
            </w:r>
          </w:p>
          <w:p>
            <w:pPr>
              <w:spacing w:after="0"/>
              <w:ind w:left="960" w:hanging="960" w:hangingChars="30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           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- รวมมือกับ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PCT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อื่น(อายุรกรรม สูติกรรม ประกันสังคม) ในการส่งประเมินจอตา</w:t>
            </w:r>
          </w:p>
          <w:p>
            <w:pPr>
              <w:spacing w:after="0"/>
              <w:ind w:left="960" w:hanging="960" w:hangingChars="30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- ออกหน่วยเชิงรุกร่วมกับเวชกรรมสังคม</w:t>
            </w:r>
          </w:p>
          <w:p>
            <w:pPr>
              <w:spacing w:after="0"/>
              <w:ind w:left="960" w:hanging="960" w:hangingChars="30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ตรวจคัดกรองใน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รพสต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.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ศูนย์แพทย์ ในเขต อ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>.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เมือง</w:t>
            </w:r>
          </w:p>
          <w:p>
            <w:pPr>
              <w:spacing w:after="0"/>
              <w:ind w:left="960" w:hanging="960" w:hangingChars="300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-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 DR Clinic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ทุกวันศุกร์ ที่ห้องตรวจตา</w:t>
            </w:r>
          </w:p>
          <w:p>
            <w:pPr>
              <w:spacing w:after="0"/>
              <w:ind w:left="960" w:hanging="960" w:hangingChars="300"/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</w:pP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           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- </w:t>
            </w:r>
            <w:r>
              <w:rPr>
                <w:rFonts w:hint="default" w:ascii="TH SarabunPSK" w:hAnsi="TH SarabunPSK" w:cs="TH SarabunPSK"/>
                <w:sz w:val="32"/>
                <w:szCs w:val="32"/>
                <w:cs w:val="0"/>
                <w:lang w:val="en-US" w:bidi="th-TH"/>
              </w:rPr>
              <w:t xml:space="preserve">ODS , IVT  </w:t>
            </w:r>
            <w:bookmarkStart w:id="1" w:name="_GoBack"/>
            <w:bookmarkEnd w:id="1"/>
          </w:p>
        </w:tc>
      </w:tr>
    </w:tbl>
    <w:p/>
    <w:p/>
    <w:sectPr>
      <w:pgSz w:w="15840" w:h="12240" w:orient="landscape"/>
      <w:pgMar w:top="284" w:right="244" w:bottom="244" w:left="23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H Sarabun PSK">
    <w:altName w:val="PS Pimpdee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PS Pimpdeed">
    <w:panose1 w:val="02000400000000000000"/>
    <w:charset w:val="00"/>
    <w:family w:val="auto"/>
    <w:pitch w:val="default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altName w:val="Mangrai"/>
    <w:panose1 w:val="020B0304020202020204"/>
    <w:charset w:val="00"/>
    <w:family w:val="swiss"/>
    <w:pitch w:val="default"/>
    <w:sig w:usb0="00000000" w:usb1="00000000" w:usb2="00000000" w:usb3="00000000" w:csb0="00010001" w:csb1="00000000"/>
  </w:font>
  <w:font w:name="Mangrai">
    <w:panose1 w:val="020B0304020202020204"/>
    <w:charset w:val="00"/>
    <w:family w:val="auto"/>
    <w:pitch w:val="default"/>
    <w:sig w:usb0="01000000" w:usb1="00000000" w:usb2="00000000" w:usb3="00000000" w:csb0="00010001" w:csb1="0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ngsana New">
    <w:altName w:val="Times New Roman"/>
    <w:panose1 w:val="02020603050405020304"/>
    <w:charset w:val="00"/>
    <w:family w:val="roman"/>
    <w:pitch w:val="default"/>
    <w:sig w:usb0="00000000" w:usb1="00000000" w:usb2="00000000" w:usb3="00000000" w:csb0="00010001" w:csb1="00000000"/>
  </w:font>
  <w:font w:name="Sarabun">
    <w:altName w:val="TH Sarabun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 Sarabun New">
    <w:panose1 w:val="020B0500040200020003"/>
    <w:charset w:val="00"/>
    <w:family w:val="auto"/>
    <w:pitch w:val="default"/>
    <w:sig w:usb0="A100006F" w:usb1="5000205A" w:usb2="00000000" w:usb3="00000000" w:csb0="60010183" w:csb1="8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AE14E4"/>
    <w:multiLevelType w:val="singleLevel"/>
    <w:tmpl w:val="AAAE14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86D"/>
    <w:rsid w:val="00181EAA"/>
    <w:rsid w:val="002A1656"/>
    <w:rsid w:val="00300A0E"/>
    <w:rsid w:val="00323ECD"/>
    <w:rsid w:val="00343458"/>
    <w:rsid w:val="00367111"/>
    <w:rsid w:val="00463F46"/>
    <w:rsid w:val="00467273"/>
    <w:rsid w:val="0048297A"/>
    <w:rsid w:val="00502851"/>
    <w:rsid w:val="005115D0"/>
    <w:rsid w:val="00633622"/>
    <w:rsid w:val="007241EC"/>
    <w:rsid w:val="008B7B96"/>
    <w:rsid w:val="00904A90"/>
    <w:rsid w:val="0097646A"/>
    <w:rsid w:val="009D1BA0"/>
    <w:rsid w:val="009D70F5"/>
    <w:rsid w:val="00A43679"/>
    <w:rsid w:val="00A7353B"/>
    <w:rsid w:val="00A93B3C"/>
    <w:rsid w:val="00C066CA"/>
    <w:rsid w:val="00CD4B74"/>
    <w:rsid w:val="00CF1587"/>
    <w:rsid w:val="00D91C00"/>
    <w:rsid w:val="00D9486D"/>
    <w:rsid w:val="00DB1277"/>
    <w:rsid w:val="00E937C6"/>
    <w:rsid w:val="00FF38F4"/>
    <w:rsid w:val="0BA4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ordia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ordia New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qFormat/>
    <w:uiPriority w:val="20"/>
    <w:rPr>
      <w:i/>
      <w:iCs/>
    </w:rPr>
  </w:style>
  <w:style w:type="table" w:styleId="5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288</Words>
  <Characters>1648</Characters>
  <Lines>13</Lines>
  <Paragraphs>3</Paragraphs>
  <TotalTime>8</TotalTime>
  <ScaleCrop>false</ScaleCrop>
  <LinksUpToDate>false</LinksUpToDate>
  <CharactersWithSpaces>1933</CharactersWithSpaces>
  <Application>WPS Office_11.2.0.11306_F1E327BC-269C-435d-A152-05C5408002CA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2022-11-11T02:10:00Z</dcterms:created>
  <dc:creator>Admin</dc:creator>
  <cp:lastModifiedBy>Kesorn Phurikitkoson</cp:lastModifiedBy>
  <dcterms:modified xsi:type="dcterms:W3CDTF">2022-11-14T09:56:55Z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1054-11.2.0.11306</vt:lpwstr>
  </property>
  <property fmtid="{D5CDD505-2E9C-101B-9397-08002B2CF9AE}" pid="3" name="ICV">
    <vt:lpwstr>3F7873C6CA7C4F68BBE43138A996DFC7</vt:lpwstr>
  </property>
</Properties>
</file>